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F9CDE" w14:textId="77777777" w:rsidR="00947440" w:rsidRPr="00926F4A" w:rsidRDefault="00947440" w:rsidP="00947440">
      <w:pPr>
        <w:spacing w:line="480" w:lineRule="atLeast"/>
        <w:textAlignment w:val="baseline"/>
        <w:rPr>
          <w:rFonts w:ascii="NexusSerifPro" w:eastAsia="Times New Roman" w:hAnsi="NexusSerifPro" w:cs="Times New Roman"/>
          <w:color w:val="007398"/>
          <w:sz w:val="41"/>
          <w:szCs w:val="41"/>
          <w:lang w:eastAsia="es-MX"/>
        </w:rPr>
      </w:pPr>
      <w:r w:rsidRPr="00926F4A">
        <w:rPr>
          <w:rFonts w:ascii="NexusSerifPro" w:eastAsia="Times New Roman" w:hAnsi="NexusSerifPro" w:cs="Times New Roman"/>
          <w:color w:val="007398"/>
          <w:sz w:val="41"/>
          <w:szCs w:val="41"/>
          <w:lang w:eastAsia="es-MX"/>
        </w:rPr>
        <w:t>Programas de optimización de uso de antimicrobianos (PROA) en hospitales españoles: documento de consenso GEIH-SEIMC, SEFH y SEMPSPH</w:t>
      </w:r>
    </w:p>
    <w:p w14:paraId="7FD1D6B2" w14:textId="77777777" w:rsidR="00947440" w:rsidRPr="00926F4A" w:rsidRDefault="00947440" w:rsidP="00947440">
      <w:pPr>
        <w:spacing w:line="390" w:lineRule="atLeast"/>
        <w:textAlignment w:val="baseline"/>
        <w:rPr>
          <w:rFonts w:ascii="inherit" w:eastAsia="Times New Roman" w:hAnsi="inherit" w:cs="Times New Roman"/>
          <w:color w:val="737373"/>
          <w:sz w:val="27"/>
          <w:szCs w:val="27"/>
          <w:lang w:val="en-GB" w:eastAsia="es-MX"/>
        </w:rPr>
      </w:pPr>
      <w:r w:rsidRPr="00926F4A">
        <w:rPr>
          <w:rFonts w:ascii="inherit" w:eastAsia="Times New Roman" w:hAnsi="inherit" w:cs="Times New Roman"/>
          <w:color w:val="737373"/>
          <w:sz w:val="27"/>
          <w:szCs w:val="27"/>
          <w:lang w:val="en-GB" w:eastAsia="es-MX"/>
        </w:rPr>
        <w:t>Programs for optimizing the use of antibiotics (PROA) in Spanish hospitals: GEIH-SEIMC, SEFH and SEMPSPH consensus document</w:t>
      </w:r>
    </w:p>
    <w:p w14:paraId="30267A01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323232"/>
          <w:sz w:val="21"/>
          <w:szCs w:val="21"/>
          <w:bdr w:val="none" w:sz="0" w:space="0" w:color="auto" w:frame="1"/>
          <w:lang w:eastAsia="es-MX"/>
        </w:rPr>
      </w:pPr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Jesús Rodríguez-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Baño</w:t>
      </w:r>
      <w:hyperlink r:id="rId4" w:anchor="aff0005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a</w:t>
        </w:r>
        <w:proofErr w:type="spellEnd"/>
      </w:hyperlink>
      <w:r w:rsidRPr="00926F4A">
        <w:rPr>
          <w:rFonts w:ascii="inherit" w:eastAsia="Times New Roman" w:hAnsi="inherit" w:cs="Times New Roman"/>
          <w:color w:val="323232"/>
          <w:sz w:val="15"/>
          <w:szCs w:val="15"/>
          <w:bdr w:val="none" w:sz="0" w:space="0" w:color="auto" w:frame="1"/>
          <w:vertAlign w:val="superscript"/>
          <w:lang w:eastAsia="es-MX"/>
        </w:rPr>
        <w:t>,</w:t>
      </w:r>
    </w:p>
    <w:p w14:paraId="4F233E45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</w:pPr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, José Ramón Paño-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Pardo</w:t>
      </w:r>
      <w:hyperlink r:id="rId5" w:anchor="aff0010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b</w:t>
        </w:r>
        <w:proofErr w:type="spellEnd"/>
      </w:hyperlink>
      <w:r w:rsidRPr="00926F4A">
        <w:rPr>
          <w:rFonts w:ascii="inherit" w:eastAsia="Times New Roman" w:hAnsi="inherit" w:cs="Times New Roman"/>
          <w:color w:val="323232"/>
          <w:sz w:val="15"/>
          <w:szCs w:val="15"/>
          <w:bdr w:val="none" w:sz="0" w:space="0" w:color="auto" w:frame="1"/>
          <w:vertAlign w:val="superscript"/>
          <w:lang w:eastAsia="es-MX"/>
        </w:rPr>
        <w:t>,</w:t>
      </w:r>
    </w:p>
    <w:p w14:paraId="1618C8F7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, Luis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Alvarez-Rocha</w:t>
      </w:r>
      <w:hyperlink r:id="rId6" w:anchor="aff0015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c</w:t>
        </w:r>
        <w:proofErr w:type="spellEnd"/>
      </w:hyperlink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, Ángel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Asensio</w:t>
      </w:r>
      <w:hyperlink r:id="rId7" w:anchor="aff0020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d</w:t>
        </w:r>
        <w:proofErr w:type="spellEnd"/>
      </w:hyperlink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, Esther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Calbo</w:t>
      </w:r>
      <w:hyperlink r:id="rId8" w:anchor="aff0025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e</w:t>
        </w:r>
        <w:proofErr w:type="spellEnd"/>
      </w:hyperlink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, Emilia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Cercenado</w:t>
      </w:r>
      <w:hyperlink r:id="rId9" w:anchor="aff0030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f</w:t>
        </w:r>
        <w:proofErr w:type="spellEnd"/>
      </w:hyperlink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, José Miguel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Cisneros</w:t>
      </w:r>
      <w:hyperlink r:id="rId10" w:anchor="aff0035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g</w:t>
        </w:r>
        <w:proofErr w:type="spellEnd"/>
      </w:hyperlink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, Javier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Cobo</w:t>
      </w:r>
      <w:hyperlink r:id="rId11" w:anchor="aff0040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h</w:t>
        </w:r>
        <w:proofErr w:type="spellEnd"/>
      </w:hyperlink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, Olga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Delgado</w:t>
      </w:r>
      <w:hyperlink r:id="rId12" w:anchor="aff0045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i</w:t>
        </w:r>
        <w:proofErr w:type="spellEnd"/>
      </w:hyperlink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, José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Garnacho-Montero</w:t>
      </w:r>
      <w:hyperlink r:id="rId13" w:anchor="aff0050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j</w:t>
        </w:r>
        <w:proofErr w:type="spellEnd"/>
      </w:hyperlink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, Santiago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Grau</w:t>
      </w:r>
      <w:hyperlink r:id="rId14" w:anchor="aff0055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k</w:t>
        </w:r>
        <w:proofErr w:type="spellEnd"/>
      </w:hyperlink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, Juan Pablo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Horcajada</w:t>
      </w:r>
      <w:hyperlink r:id="rId15" w:anchor="aff0060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l</w:t>
        </w:r>
        <w:proofErr w:type="spellEnd"/>
      </w:hyperlink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, Ana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Hornero</w:t>
      </w:r>
      <w:hyperlink r:id="rId16" w:anchor="aff0065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m</w:t>
        </w:r>
        <w:proofErr w:type="spellEnd"/>
      </w:hyperlink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, Javier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Murillas-Angoiti</w:t>
      </w:r>
      <w:hyperlink r:id="rId17" w:anchor="aff0070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n</w:t>
        </w:r>
        <w:proofErr w:type="spellEnd"/>
      </w:hyperlink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, Antonio Oliver</w:t>
      </w:r>
      <w:hyperlink r:id="rId18" w:anchor="aff0075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o</w:t>
        </w:r>
      </w:hyperlink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, Belén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Padilla</w:t>
      </w:r>
      <w:hyperlink r:id="rId19" w:anchor="aff0030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f</w:t>
        </w:r>
        <w:proofErr w:type="spellEnd"/>
      </w:hyperlink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, Juan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Pasquau</w:t>
      </w:r>
      <w:hyperlink r:id="rId20" w:anchor="aff0080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p</w:t>
        </w:r>
        <w:proofErr w:type="spellEnd"/>
      </w:hyperlink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, Miquel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Pujol</w:t>
      </w:r>
      <w:hyperlink r:id="rId21" w:anchor="aff0065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m</w:t>
        </w:r>
        <w:proofErr w:type="spellEnd"/>
      </w:hyperlink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, Patricia Ruiz-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Garbajosa</w:t>
      </w:r>
      <w:hyperlink r:id="rId22" w:anchor="aff0085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q</w:t>
        </w:r>
        <w:proofErr w:type="spellEnd"/>
      </w:hyperlink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, Rafael San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Juan</w:t>
      </w:r>
      <w:hyperlink r:id="rId23" w:anchor="aff0090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r</w:t>
        </w:r>
        <w:proofErr w:type="spellEnd"/>
      </w:hyperlink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, Rafael Sierra</w:t>
      </w:r>
      <w:hyperlink r:id="rId24" w:anchor="aff0095" w:history="1">
        <w:r w:rsidRPr="00926F4A">
          <w:rPr>
            <w:rFonts w:ascii="inherit" w:eastAsia="Times New Roman" w:hAnsi="inherit" w:cs="Times New Roman"/>
            <w:color w:val="007398"/>
            <w:sz w:val="15"/>
            <w:szCs w:val="15"/>
            <w:bdr w:val="none" w:sz="0" w:space="0" w:color="auto" w:frame="1"/>
            <w:vertAlign w:val="superscript"/>
            <w:lang w:eastAsia="es-MX"/>
          </w:rPr>
          <w:t>s</w:t>
        </w:r>
      </w:hyperlink>
    </w:p>
    <w:p w14:paraId="4FE274C9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lang w:eastAsia="es-MX"/>
        </w:rPr>
      </w:pPr>
      <w:bookmarkStart w:id="0" w:name="aff0005"/>
      <w:r w:rsidRPr="00926F4A">
        <w:rPr>
          <w:rFonts w:ascii="inherit" w:eastAsia="Times New Roman" w:hAnsi="inherit" w:cs="Times New Roman"/>
          <w:color w:val="007398"/>
          <w:sz w:val="15"/>
          <w:szCs w:val="15"/>
          <w:bdr w:val="none" w:sz="0" w:space="0" w:color="auto" w:frame="1"/>
          <w:vertAlign w:val="superscript"/>
          <w:lang w:eastAsia="es-MX"/>
        </w:rPr>
        <w:t>a</w:t>
      </w:r>
      <w:r w:rsidRPr="00926F4A">
        <w:rPr>
          <w:rFonts w:ascii="inherit" w:eastAsia="Times New Roman" w:hAnsi="inherit" w:cs="Times New Roman"/>
          <w:color w:val="007398"/>
          <w:sz w:val="21"/>
          <w:szCs w:val="21"/>
          <w:bdr w:val="none" w:sz="0" w:space="0" w:color="auto" w:frame="1"/>
          <w:vertAlign w:val="superscript"/>
          <w:lang w:eastAsia="es-MX"/>
        </w:rPr>
        <w:t> </w:t>
      </w:r>
      <w:bookmarkEnd w:id="0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Unidad Clínica de Enfermedades Infecciosas y Microbiología, Hospital Universitario Virgen Macarena, Departamento de Medicina, Universidad de Sevilla, Sevilla, España</w:t>
      </w:r>
    </w:p>
    <w:p w14:paraId="3DA720AE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lang w:eastAsia="es-MX"/>
        </w:rPr>
      </w:pPr>
      <w:bookmarkStart w:id="1" w:name="aff0010"/>
      <w:r w:rsidRPr="00926F4A">
        <w:rPr>
          <w:rFonts w:ascii="inherit" w:eastAsia="Times New Roman" w:hAnsi="inherit" w:cs="Times New Roman"/>
          <w:color w:val="007398"/>
          <w:sz w:val="15"/>
          <w:szCs w:val="15"/>
          <w:bdr w:val="none" w:sz="0" w:space="0" w:color="auto" w:frame="1"/>
          <w:vertAlign w:val="superscript"/>
          <w:lang w:eastAsia="es-MX"/>
        </w:rPr>
        <w:t>b</w:t>
      </w:r>
      <w:r w:rsidRPr="00926F4A">
        <w:rPr>
          <w:rFonts w:ascii="inherit" w:eastAsia="Times New Roman" w:hAnsi="inherit" w:cs="Times New Roman"/>
          <w:color w:val="007398"/>
          <w:sz w:val="21"/>
          <w:szCs w:val="21"/>
          <w:bdr w:val="none" w:sz="0" w:space="0" w:color="auto" w:frame="1"/>
          <w:vertAlign w:val="superscript"/>
          <w:lang w:eastAsia="es-MX"/>
        </w:rPr>
        <w:t> </w:t>
      </w:r>
      <w:bookmarkEnd w:id="1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Unidad de Enfermedades Infecciosas y Microbiología Clínica, Hospital Universitario La Paz-IDIPAZ, Madrid, España</w:t>
      </w:r>
    </w:p>
    <w:p w14:paraId="4F9D8EFF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lang w:eastAsia="es-MX"/>
        </w:rPr>
      </w:pPr>
      <w:bookmarkStart w:id="2" w:name="aff0015"/>
      <w:r w:rsidRPr="00926F4A">
        <w:rPr>
          <w:rFonts w:ascii="inherit" w:eastAsia="Times New Roman" w:hAnsi="inherit" w:cs="Times New Roman"/>
          <w:color w:val="007398"/>
          <w:sz w:val="15"/>
          <w:szCs w:val="15"/>
          <w:bdr w:val="none" w:sz="0" w:space="0" w:color="auto" w:frame="1"/>
          <w:vertAlign w:val="superscript"/>
          <w:lang w:eastAsia="es-MX"/>
        </w:rPr>
        <w:t>c</w:t>
      </w:r>
      <w:r w:rsidRPr="00926F4A">
        <w:rPr>
          <w:rFonts w:ascii="inherit" w:eastAsia="Times New Roman" w:hAnsi="inherit" w:cs="Times New Roman"/>
          <w:color w:val="007398"/>
          <w:sz w:val="21"/>
          <w:szCs w:val="21"/>
          <w:bdr w:val="none" w:sz="0" w:space="0" w:color="auto" w:frame="1"/>
          <w:vertAlign w:val="superscript"/>
          <w:lang w:eastAsia="es-MX"/>
        </w:rPr>
        <w:t> </w:t>
      </w:r>
      <w:bookmarkEnd w:id="2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Servicio de Medicina Intensiva, Complexo Hospitalario Universitario de A Coruña, A Coruña, España</w:t>
      </w:r>
    </w:p>
    <w:p w14:paraId="6A83BA08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lang w:eastAsia="es-MX"/>
        </w:rPr>
      </w:pPr>
      <w:bookmarkStart w:id="3" w:name="aff0020"/>
      <w:r w:rsidRPr="00926F4A">
        <w:rPr>
          <w:rFonts w:ascii="inherit" w:eastAsia="Times New Roman" w:hAnsi="inherit" w:cs="Times New Roman"/>
          <w:color w:val="007398"/>
          <w:sz w:val="15"/>
          <w:szCs w:val="15"/>
          <w:bdr w:val="none" w:sz="0" w:space="0" w:color="auto" w:frame="1"/>
          <w:vertAlign w:val="superscript"/>
          <w:lang w:eastAsia="es-MX"/>
        </w:rPr>
        <w:t>d</w:t>
      </w:r>
      <w:r w:rsidRPr="00926F4A">
        <w:rPr>
          <w:rFonts w:ascii="inherit" w:eastAsia="Times New Roman" w:hAnsi="inherit" w:cs="Times New Roman"/>
          <w:color w:val="007398"/>
          <w:sz w:val="21"/>
          <w:szCs w:val="21"/>
          <w:bdr w:val="none" w:sz="0" w:space="0" w:color="auto" w:frame="1"/>
          <w:vertAlign w:val="superscript"/>
          <w:lang w:eastAsia="es-MX"/>
        </w:rPr>
        <w:t> </w:t>
      </w:r>
      <w:bookmarkEnd w:id="3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Servicio de Medicina Preventiva, Hospital Puerta de Hierro, Madrid, España</w:t>
      </w:r>
    </w:p>
    <w:p w14:paraId="5A84A63D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lang w:eastAsia="es-MX"/>
        </w:rPr>
      </w:pPr>
      <w:bookmarkStart w:id="4" w:name="aff0025"/>
      <w:proofErr w:type="spellStart"/>
      <w:r w:rsidRPr="00926F4A">
        <w:rPr>
          <w:rFonts w:ascii="inherit" w:eastAsia="Times New Roman" w:hAnsi="inherit" w:cs="Times New Roman"/>
          <w:color w:val="007398"/>
          <w:sz w:val="15"/>
          <w:szCs w:val="15"/>
          <w:bdr w:val="none" w:sz="0" w:space="0" w:color="auto" w:frame="1"/>
          <w:vertAlign w:val="superscript"/>
          <w:lang w:eastAsia="es-MX"/>
        </w:rPr>
        <w:t>e</w:t>
      </w:r>
      <w:proofErr w:type="spellEnd"/>
      <w:r w:rsidRPr="00926F4A">
        <w:rPr>
          <w:rFonts w:ascii="inherit" w:eastAsia="Times New Roman" w:hAnsi="inherit" w:cs="Times New Roman"/>
          <w:color w:val="007398"/>
          <w:sz w:val="21"/>
          <w:szCs w:val="21"/>
          <w:bdr w:val="none" w:sz="0" w:space="0" w:color="auto" w:frame="1"/>
          <w:vertAlign w:val="superscript"/>
          <w:lang w:eastAsia="es-MX"/>
        </w:rPr>
        <w:t> </w:t>
      </w:r>
      <w:bookmarkEnd w:id="4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Servicio de Medicina Interna, Hospital Mutua de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Terrasa</w:t>
      </w:r>
      <w:proofErr w:type="spellEnd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,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Terrasa</w:t>
      </w:r>
      <w:proofErr w:type="spellEnd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, Barcelona, España</w:t>
      </w:r>
    </w:p>
    <w:p w14:paraId="2DEA4A21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lang w:eastAsia="es-MX"/>
        </w:rPr>
      </w:pPr>
      <w:bookmarkStart w:id="5" w:name="aff0030"/>
      <w:r w:rsidRPr="00926F4A">
        <w:rPr>
          <w:rFonts w:ascii="inherit" w:eastAsia="Times New Roman" w:hAnsi="inherit" w:cs="Times New Roman"/>
          <w:color w:val="007398"/>
          <w:sz w:val="15"/>
          <w:szCs w:val="15"/>
          <w:bdr w:val="none" w:sz="0" w:space="0" w:color="auto" w:frame="1"/>
          <w:vertAlign w:val="superscript"/>
          <w:lang w:eastAsia="es-MX"/>
        </w:rPr>
        <w:t>f</w:t>
      </w:r>
      <w:r w:rsidRPr="00926F4A">
        <w:rPr>
          <w:rFonts w:ascii="inherit" w:eastAsia="Times New Roman" w:hAnsi="inherit" w:cs="Times New Roman"/>
          <w:color w:val="007398"/>
          <w:sz w:val="21"/>
          <w:szCs w:val="21"/>
          <w:bdr w:val="none" w:sz="0" w:space="0" w:color="auto" w:frame="1"/>
          <w:vertAlign w:val="superscript"/>
          <w:lang w:eastAsia="es-MX"/>
        </w:rPr>
        <w:t> </w:t>
      </w:r>
      <w:bookmarkEnd w:id="5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Servicio de Microbiología y Enfermedades Infecciosas, Hospital General Universitario Gregorio Marañón, Madrid, España</w:t>
      </w:r>
    </w:p>
    <w:p w14:paraId="102A90E9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lang w:eastAsia="es-MX"/>
        </w:rPr>
      </w:pPr>
      <w:bookmarkStart w:id="6" w:name="aff0035"/>
      <w:r w:rsidRPr="00926F4A">
        <w:rPr>
          <w:rFonts w:ascii="inherit" w:eastAsia="Times New Roman" w:hAnsi="inherit" w:cs="Times New Roman"/>
          <w:color w:val="007398"/>
          <w:sz w:val="15"/>
          <w:szCs w:val="15"/>
          <w:bdr w:val="none" w:sz="0" w:space="0" w:color="auto" w:frame="1"/>
          <w:vertAlign w:val="superscript"/>
          <w:lang w:eastAsia="es-MX"/>
        </w:rPr>
        <w:t>g</w:t>
      </w:r>
      <w:r w:rsidRPr="00926F4A">
        <w:rPr>
          <w:rFonts w:ascii="inherit" w:eastAsia="Times New Roman" w:hAnsi="inherit" w:cs="Times New Roman"/>
          <w:color w:val="007398"/>
          <w:sz w:val="21"/>
          <w:szCs w:val="21"/>
          <w:bdr w:val="none" w:sz="0" w:space="0" w:color="auto" w:frame="1"/>
          <w:vertAlign w:val="superscript"/>
          <w:lang w:eastAsia="es-MX"/>
        </w:rPr>
        <w:t> </w:t>
      </w:r>
      <w:bookmarkEnd w:id="6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Unidad Clínica de Enfermedades Infecciosas, Microbiología y Medicina Preventiva, Hospitales Universitarios Virgen del Rocío, Sevilla, España</w:t>
      </w:r>
    </w:p>
    <w:p w14:paraId="4C05E19B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lang w:eastAsia="es-MX"/>
        </w:rPr>
      </w:pPr>
      <w:bookmarkStart w:id="7" w:name="aff0040"/>
      <w:r w:rsidRPr="00926F4A">
        <w:rPr>
          <w:rFonts w:ascii="inherit" w:eastAsia="Times New Roman" w:hAnsi="inherit" w:cs="Times New Roman"/>
          <w:color w:val="007398"/>
          <w:sz w:val="15"/>
          <w:szCs w:val="15"/>
          <w:bdr w:val="none" w:sz="0" w:space="0" w:color="auto" w:frame="1"/>
          <w:vertAlign w:val="superscript"/>
          <w:lang w:eastAsia="es-MX"/>
        </w:rPr>
        <w:t>h</w:t>
      </w:r>
      <w:r w:rsidRPr="00926F4A">
        <w:rPr>
          <w:rFonts w:ascii="inherit" w:eastAsia="Times New Roman" w:hAnsi="inherit" w:cs="Times New Roman"/>
          <w:color w:val="007398"/>
          <w:sz w:val="21"/>
          <w:szCs w:val="21"/>
          <w:bdr w:val="none" w:sz="0" w:space="0" w:color="auto" w:frame="1"/>
          <w:vertAlign w:val="superscript"/>
          <w:lang w:eastAsia="es-MX"/>
        </w:rPr>
        <w:t> </w:t>
      </w:r>
      <w:bookmarkEnd w:id="7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Servicio de Enfermedades Infecciosas, Hospital Universitario Ramón y Cajal-IRYCIS, Madrid, España</w:t>
      </w:r>
    </w:p>
    <w:p w14:paraId="18ACE289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lang w:eastAsia="es-MX"/>
        </w:rPr>
      </w:pPr>
      <w:bookmarkStart w:id="8" w:name="aff0045"/>
      <w:r w:rsidRPr="00926F4A">
        <w:rPr>
          <w:rFonts w:ascii="inherit" w:eastAsia="Times New Roman" w:hAnsi="inherit" w:cs="Times New Roman"/>
          <w:color w:val="007398"/>
          <w:sz w:val="15"/>
          <w:szCs w:val="15"/>
          <w:bdr w:val="none" w:sz="0" w:space="0" w:color="auto" w:frame="1"/>
          <w:vertAlign w:val="superscript"/>
          <w:lang w:eastAsia="es-MX"/>
        </w:rPr>
        <w:t>i</w:t>
      </w:r>
      <w:r w:rsidRPr="00926F4A">
        <w:rPr>
          <w:rFonts w:ascii="inherit" w:eastAsia="Times New Roman" w:hAnsi="inherit" w:cs="Times New Roman"/>
          <w:color w:val="007398"/>
          <w:sz w:val="21"/>
          <w:szCs w:val="21"/>
          <w:bdr w:val="none" w:sz="0" w:space="0" w:color="auto" w:frame="1"/>
          <w:vertAlign w:val="superscript"/>
          <w:lang w:eastAsia="es-MX"/>
        </w:rPr>
        <w:t> </w:t>
      </w:r>
      <w:bookmarkEnd w:id="8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Servicio de Farmacia Hospitalaria, Hospital Universitario Son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Espases</w:t>
      </w:r>
      <w:proofErr w:type="spellEnd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, Palma de Mallorca, España</w:t>
      </w:r>
    </w:p>
    <w:p w14:paraId="3B7B5279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lang w:eastAsia="es-MX"/>
        </w:rPr>
      </w:pPr>
      <w:bookmarkStart w:id="9" w:name="aff0050"/>
      <w:r w:rsidRPr="00926F4A">
        <w:rPr>
          <w:rFonts w:ascii="inherit" w:eastAsia="Times New Roman" w:hAnsi="inherit" w:cs="Times New Roman"/>
          <w:color w:val="007398"/>
          <w:sz w:val="15"/>
          <w:szCs w:val="15"/>
          <w:bdr w:val="none" w:sz="0" w:space="0" w:color="auto" w:frame="1"/>
          <w:vertAlign w:val="superscript"/>
          <w:lang w:eastAsia="es-MX"/>
        </w:rPr>
        <w:t>j</w:t>
      </w:r>
      <w:r w:rsidRPr="00926F4A">
        <w:rPr>
          <w:rFonts w:ascii="inherit" w:eastAsia="Times New Roman" w:hAnsi="inherit" w:cs="Times New Roman"/>
          <w:color w:val="007398"/>
          <w:sz w:val="21"/>
          <w:szCs w:val="21"/>
          <w:bdr w:val="none" w:sz="0" w:space="0" w:color="auto" w:frame="1"/>
          <w:vertAlign w:val="superscript"/>
          <w:lang w:eastAsia="es-MX"/>
        </w:rPr>
        <w:t> </w:t>
      </w:r>
      <w:bookmarkEnd w:id="9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Servicio de Cuidados Críticos, Hospitales Universitarios Virgen del Rocío, Sevilla, España</w:t>
      </w:r>
    </w:p>
    <w:p w14:paraId="0517C859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lang w:eastAsia="es-MX"/>
        </w:rPr>
      </w:pPr>
      <w:bookmarkStart w:id="10" w:name="aff0055"/>
      <w:r w:rsidRPr="00926F4A">
        <w:rPr>
          <w:rFonts w:ascii="inherit" w:eastAsia="Times New Roman" w:hAnsi="inherit" w:cs="Times New Roman"/>
          <w:color w:val="007398"/>
          <w:sz w:val="15"/>
          <w:szCs w:val="15"/>
          <w:bdr w:val="none" w:sz="0" w:space="0" w:color="auto" w:frame="1"/>
          <w:vertAlign w:val="superscript"/>
          <w:lang w:eastAsia="es-MX"/>
        </w:rPr>
        <w:t>k</w:t>
      </w:r>
      <w:r w:rsidRPr="00926F4A">
        <w:rPr>
          <w:rFonts w:ascii="inherit" w:eastAsia="Times New Roman" w:hAnsi="inherit" w:cs="Times New Roman"/>
          <w:color w:val="007398"/>
          <w:sz w:val="21"/>
          <w:szCs w:val="21"/>
          <w:bdr w:val="none" w:sz="0" w:space="0" w:color="auto" w:frame="1"/>
          <w:vertAlign w:val="superscript"/>
          <w:lang w:eastAsia="es-MX"/>
        </w:rPr>
        <w:t> </w:t>
      </w:r>
      <w:bookmarkEnd w:id="10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Servicio de Farmacia, Hospital Universitario del Mar, Barcelona, España</w:t>
      </w:r>
    </w:p>
    <w:p w14:paraId="7C6DB061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lang w:eastAsia="es-MX"/>
        </w:rPr>
      </w:pPr>
      <w:bookmarkStart w:id="11" w:name="aff0060"/>
      <w:r w:rsidRPr="00926F4A">
        <w:rPr>
          <w:rFonts w:ascii="inherit" w:eastAsia="Times New Roman" w:hAnsi="inherit" w:cs="Times New Roman"/>
          <w:color w:val="007398"/>
          <w:sz w:val="15"/>
          <w:szCs w:val="15"/>
          <w:bdr w:val="none" w:sz="0" w:space="0" w:color="auto" w:frame="1"/>
          <w:vertAlign w:val="superscript"/>
          <w:lang w:eastAsia="es-MX"/>
        </w:rPr>
        <w:t>l</w:t>
      </w:r>
      <w:r w:rsidRPr="00926F4A">
        <w:rPr>
          <w:rFonts w:ascii="inherit" w:eastAsia="Times New Roman" w:hAnsi="inherit" w:cs="Times New Roman"/>
          <w:color w:val="007398"/>
          <w:sz w:val="21"/>
          <w:szCs w:val="21"/>
          <w:bdr w:val="none" w:sz="0" w:space="0" w:color="auto" w:frame="1"/>
          <w:vertAlign w:val="superscript"/>
          <w:lang w:eastAsia="es-MX"/>
        </w:rPr>
        <w:t> </w:t>
      </w:r>
      <w:bookmarkEnd w:id="11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Servicio de Medicina Interna-Enfermedades Infecciosas, Hospital Universitario del Mar, Barcelona, España</w:t>
      </w:r>
    </w:p>
    <w:p w14:paraId="17148655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lang w:eastAsia="es-MX"/>
        </w:rPr>
      </w:pPr>
      <w:bookmarkStart w:id="12" w:name="aff0065"/>
      <w:r w:rsidRPr="00926F4A">
        <w:rPr>
          <w:rFonts w:ascii="inherit" w:eastAsia="Times New Roman" w:hAnsi="inherit" w:cs="Times New Roman"/>
          <w:color w:val="007398"/>
          <w:sz w:val="15"/>
          <w:szCs w:val="15"/>
          <w:bdr w:val="none" w:sz="0" w:space="0" w:color="auto" w:frame="1"/>
          <w:vertAlign w:val="superscript"/>
          <w:lang w:eastAsia="es-MX"/>
        </w:rPr>
        <w:t>m</w:t>
      </w:r>
      <w:r w:rsidRPr="00926F4A">
        <w:rPr>
          <w:rFonts w:ascii="inherit" w:eastAsia="Times New Roman" w:hAnsi="inherit" w:cs="Times New Roman"/>
          <w:color w:val="007398"/>
          <w:sz w:val="21"/>
          <w:szCs w:val="21"/>
          <w:bdr w:val="none" w:sz="0" w:space="0" w:color="auto" w:frame="1"/>
          <w:vertAlign w:val="superscript"/>
          <w:lang w:eastAsia="es-MX"/>
        </w:rPr>
        <w:t> </w:t>
      </w:r>
      <w:bookmarkEnd w:id="12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Servicio de Enfermedades Infecciosas, Hospital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Universitari</w:t>
      </w:r>
      <w:proofErr w:type="spellEnd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 de Bellvitge, Barcelona, España</w:t>
      </w:r>
    </w:p>
    <w:p w14:paraId="09721F8F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lang w:eastAsia="es-MX"/>
        </w:rPr>
      </w:pPr>
      <w:bookmarkStart w:id="13" w:name="aff0070"/>
      <w:r w:rsidRPr="00926F4A">
        <w:rPr>
          <w:rFonts w:ascii="inherit" w:eastAsia="Times New Roman" w:hAnsi="inherit" w:cs="Times New Roman"/>
          <w:color w:val="007398"/>
          <w:sz w:val="15"/>
          <w:szCs w:val="15"/>
          <w:bdr w:val="none" w:sz="0" w:space="0" w:color="auto" w:frame="1"/>
          <w:vertAlign w:val="superscript"/>
          <w:lang w:eastAsia="es-MX"/>
        </w:rPr>
        <w:t>n</w:t>
      </w:r>
      <w:r w:rsidRPr="00926F4A">
        <w:rPr>
          <w:rFonts w:ascii="inherit" w:eastAsia="Times New Roman" w:hAnsi="inherit" w:cs="Times New Roman"/>
          <w:color w:val="007398"/>
          <w:sz w:val="21"/>
          <w:szCs w:val="21"/>
          <w:bdr w:val="none" w:sz="0" w:space="0" w:color="auto" w:frame="1"/>
          <w:vertAlign w:val="superscript"/>
          <w:lang w:eastAsia="es-MX"/>
        </w:rPr>
        <w:t> </w:t>
      </w:r>
      <w:bookmarkEnd w:id="13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Servicio de Medicina Interna-Infecciosas, Hospital Universitario Son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Espases</w:t>
      </w:r>
      <w:proofErr w:type="spellEnd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, Palma de Mallorca, España</w:t>
      </w:r>
    </w:p>
    <w:p w14:paraId="7A3158A8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lang w:eastAsia="es-MX"/>
        </w:rPr>
      </w:pPr>
      <w:bookmarkStart w:id="14" w:name="aff0075"/>
      <w:r w:rsidRPr="00926F4A">
        <w:rPr>
          <w:rFonts w:ascii="inherit" w:eastAsia="Times New Roman" w:hAnsi="inherit" w:cs="Times New Roman"/>
          <w:color w:val="007398"/>
          <w:sz w:val="15"/>
          <w:szCs w:val="15"/>
          <w:bdr w:val="none" w:sz="0" w:space="0" w:color="auto" w:frame="1"/>
          <w:vertAlign w:val="superscript"/>
          <w:lang w:eastAsia="es-MX"/>
        </w:rPr>
        <w:t>o</w:t>
      </w:r>
      <w:r w:rsidRPr="00926F4A">
        <w:rPr>
          <w:rFonts w:ascii="inherit" w:eastAsia="Times New Roman" w:hAnsi="inherit" w:cs="Times New Roman"/>
          <w:color w:val="007398"/>
          <w:sz w:val="21"/>
          <w:szCs w:val="21"/>
          <w:bdr w:val="none" w:sz="0" w:space="0" w:color="auto" w:frame="1"/>
          <w:vertAlign w:val="superscript"/>
          <w:lang w:eastAsia="es-MX"/>
        </w:rPr>
        <w:t> </w:t>
      </w:r>
      <w:bookmarkEnd w:id="14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Servicio de Microbiología, Hospital Universitario Son </w:t>
      </w:r>
      <w:proofErr w:type="spell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Espases</w:t>
      </w:r>
      <w:proofErr w:type="spellEnd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, Palma de Mallorca, España</w:t>
      </w:r>
    </w:p>
    <w:p w14:paraId="52232F93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lang w:eastAsia="es-MX"/>
        </w:rPr>
      </w:pPr>
      <w:bookmarkStart w:id="15" w:name="aff0080"/>
      <w:r w:rsidRPr="00926F4A">
        <w:rPr>
          <w:rFonts w:ascii="inherit" w:eastAsia="Times New Roman" w:hAnsi="inherit" w:cs="Times New Roman"/>
          <w:color w:val="007398"/>
          <w:sz w:val="15"/>
          <w:szCs w:val="15"/>
          <w:bdr w:val="none" w:sz="0" w:space="0" w:color="auto" w:frame="1"/>
          <w:vertAlign w:val="superscript"/>
          <w:lang w:eastAsia="es-MX"/>
        </w:rPr>
        <w:t>p</w:t>
      </w:r>
      <w:r w:rsidRPr="00926F4A">
        <w:rPr>
          <w:rFonts w:ascii="inherit" w:eastAsia="Times New Roman" w:hAnsi="inherit" w:cs="Times New Roman"/>
          <w:color w:val="007398"/>
          <w:sz w:val="21"/>
          <w:szCs w:val="21"/>
          <w:bdr w:val="none" w:sz="0" w:space="0" w:color="auto" w:frame="1"/>
          <w:vertAlign w:val="superscript"/>
          <w:lang w:eastAsia="es-MX"/>
        </w:rPr>
        <w:t> </w:t>
      </w:r>
      <w:bookmarkEnd w:id="15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Sección de Enfermedades Infecciosas, Hospital Universitario Virgen de las Nieves, Granada, España</w:t>
      </w:r>
    </w:p>
    <w:p w14:paraId="2AE4EEB3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lang w:eastAsia="es-MX"/>
        </w:rPr>
      </w:pPr>
      <w:bookmarkStart w:id="16" w:name="aff0085"/>
      <w:r w:rsidRPr="00926F4A">
        <w:rPr>
          <w:rFonts w:ascii="inherit" w:eastAsia="Times New Roman" w:hAnsi="inherit" w:cs="Times New Roman"/>
          <w:color w:val="007398"/>
          <w:sz w:val="15"/>
          <w:szCs w:val="15"/>
          <w:bdr w:val="none" w:sz="0" w:space="0" w:color="auto" w:frame="1"/>
          <w:vertAlign w:val="superscript"/>
          <w:lang w:eastAsia="es-MX"/>
        </w:rPr>
        <w:t>q</w:t>
      </w:r>
      <w:r w:rsidRPr="00926F4A">
        <w:rPr>
          <w:rFonts w:ascii="inherit" w:eastAsia="Times New Roman" w:hAnsi="inherit" w:cs="Times New Roman"/>
          <w:color w:val="007398"/>
          <w:sz w:val="21"/>
          <w:szCs w:val="21"/>
          <w:bdr w:val="none" w:sz="0" w:space="0" w:color="auto" w:frame="1"/>
          <w:vertAlign w:val="superscript"/>
          <w:lang w:eastAsia="es-MX"/>
        </w:rPr>
        <w:t> </w:t>
      </w:r>
      <w:bookmarkEnd w:id="16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Servicio de Microbiología, Hospital Universitario Ramón y Cajal-IRYCIS, Madrid, España</w:t>
      </w:r>
    </w:p>
    <w:p w14:paraId="2BA609C4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lang w:eastAsia="es-MX"/>
        </w:rPr>
      </w:pPr>
      <w:bookmarkStart w:id="17" w:name="aff0090"/>
      <w:r w:rsidRPr="00926F4A">
        <w:rPr>
          <w:rFonts w:ascii="inherit" w:eastAsia="Times New Roman" w:hAnsi="inherit" w:cs="Times New Roman"/>
          <w:color w:val="007398"/>
          <w:sz w:val="15"/>
          <w:szCs w:val="15"/>
          <w:bdr w:val="none" w:sz="0" w:space="0" w:color="auto" w:frame="1"/>
          <w:vertAlign w:val="superscript"/>
          <w:lang w:eastAsia="es-MX"/>
        </w:rPr>
        <w:t>r</w:t>
      </w:r>
      <w:r w:rsidRPr="00926F4A">
        <w:rPr>
          <w:rFonts w:ascii="inherit" w:eastAsia="Times New Roman" w:hAnsi="inherit" w:cs="Times New Roman"/>
          <w:color w:val="007398"/>
          <w:sz w:val="21"/>
          <w:szCs w:val="21"/>
          <w:bdr w:val="none" w:sz="0" w:space="0" w:color="auto" w:frame="1"/>
          <w:vertAlign w:val="superscript"/>
          <w:lang w:eastAsia="es-MX"/>
        </w:rPr>
        <w:t> </w:t>
      </w:r>
      <w:bookmarkEnd w:id="17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 xml:space="preserve">Sección de Enfermedades Infecciosas, Hospital Universitario 12 de </w:t>
      </w:r>
      <w:proofErr w:type="gramStart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Octubre</w:t>
      </w:r>
      <w:proofErr w:type="gramEnd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, Madrid, España</w:t>
      </w:r>
    </w:p>
    <w:p w14:paraId="1BD17BA6" w14:textId="77777777" w:rsidR="00947440" w:rsidRPr="00926F4A" w:rsidRDefault="00947440" w:rsidP="00947440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23232"/>
          <w:sz w:val="21"/>
          <w:szCs w:val="21"/>
          <w:lang w:eastAsia="es-MX"/>
        </w:rPr>
      </w:pPr>
      <w:bookmarkStart w:id="18" w:name="aff0095"/>
      <w:r w:rsidRPr="00926F4A">
        <w:rPr>
          <w:rFonts w:ascii="inherit" w:eastAsia="Times New Roman" w:hAnsi="inherit" w:cs="Times New Roman"/>
          <w:color w:val="007398"/>
          <w:sz w:val="15"/>
          <w:szCs w:val="15"/>
          <w:bdr w:val="none" w:sz="0" w:space="0" w:color="auto" w:frame="1"/>
          <w:vertAlign w:val="superscript"/>
          <w:lang w:eastAsia="es-MX"/>
        </w:rPr>
        <w:t>s</w:t>
      </w:r>
      <w:r w:rsidRPr="00926F4A">
        <w:rPr>
          <w:rFonts w:ascii="inherit" w:eastAsia="Times New Roman" w:hAnsi="inherit" w:cs="Times New Roman"/>
          <w:color w:val="007398"/>
          <w:sz w:val="21"/>
          <w:szCs w:val="21"/>
          <w:bdr w:val="none" w:sz="0" w:space="0" w:color="auto" w:frame="1"/>
          <w:vertAlign w:val="superscript"/>
          <w:lang w:eastAsia="es-MX"/>
        </w:rPr>
        <w:t> </w:t>
      </w:r>
      <w:bookmarkEnd w:id="18"/>
      <w:r w:rsidRPr="00926F4A">
        <w:rPr>
          <w:rFonts w:ascii="inherit" w:eastAsia="Times New Roman" w:hAnsi="inherit" w:cs="Times New Roman"/>
          <w:color w:val="323232"/>
          <w:sz w:val="21"/>
          <w:szCs w:val="21"/>
          <w:bdr w:val="none" w:sz="0" w:space="0" w:color="auto" w:frame="1"/>
          <w:lang w:eastAsia="es-MX"/>
        </w:rPr>
        <w:t>Servicio de Cuidados Críticos, Hospital Puerta del Mar, Cádiz, España</w:t>
      </w:r>
    </w:p>
    <w:p w14:paraId="4E8141CE" w14:textId="77777777" w:rsidR="00947440" w:rsidRPr="00926F4A" w:rsidRDefault="00947440" w:rsidP="009474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FC66602" w14:textId="77777777" w:rsidR="00947440" w:rsidRPr="00926F4A" w:rsidRDefault="00947440" w:rsidP="00947440">
      <w:pPr>
        <w:spacing w:before="100" w:beforeAutospacing="1" w:after="100" w:afterAutospacing="1" w:line="450" w:lineRule="atLeast"/>
        <w:jc w:val="both"/>
        <w:textAlignment w:val="baseline"/>
        <w:rPr>
          <w:rFonts w:ascii="inherit" w:eastAsia="Times New Roman" w:hAnsi="inherit" w:cs="Times New Roman"/>
          <w:color w:val="505050"/>
          <w:sz w:val="30"/>
          <w:szCs w:val="30"/>
          <w:lang w:eastAsia="es-MX"/>
        </w:rPr>
      </w:pPr>
      <w:r w:rsidRPr="00926F4A">
        <w:rPr>
          <w:rFonts w:ascii="inherit" w:eastAsia="Times New Roman" w:hAnsi="inherit" w:cs="Times New Roman"/>
          <w:color w:val="505050"/>
          <w:sz w:val="30"/>
          <w:szCs w:val="30"/>
          <w:lang w:eastAsia="es-MX"/>
        </w:rPr>
        <w:lastRenderedPageBreak/>
        <w:t>Los antimicrobianos son fármacos distintos al resto. Su eficacia en la reducción de la morbilidad y la mortalidad es muy superior a la de otros grupos de medicamentos. Por otra parte, son los únicos fármacos con efectos ecológicos, de manera que su administración puede contribuir a la aparición y diseminación de resistencias microbianas. Finalmente, son utilizados por médicos de prácticamente todas las especialidades. La actual complejidad en el manejo de las enfermedades infecciosas y del aumento de las resistencias hace imprescindible el establecimiento de programas de optimización del uso de antimicrobianos en los hospitales (PROA).</w:t>
      </w:r>
    </w:p>
    <w:p w14:paraId="09444355" w14:textId="77777777" w:rsidR="00947440" w:rsidRPr="00926F4A" w:rsidRDefault="00947440" w:rsidP="00947440">
      <w:pPr>
        <w:spacing w:before="100" w:beforeAutospacing="1" w:after="100" w:afterAutospacing="1" w:line="450" w:lineRule="atLeast"/>
        <w:jc w:val="both"/>
        <w:textAlignment w:val="baseline"/>
        <w:rPr>
          <w:rFonts w:ascii="inherit" w:eastAsia="Times New Roman" w:hAnsi="inherit" w:cs="Times New Roman"/>
          <w:color w:val="505050"/>
          <w:sz w:val="30"/>
          <w:szCs w:val="30"/>
          <w:lang w:eastAsia="es-MX"/>
        </w:rPr>
      </w:pPr>
      <w:r w:rsidRPr="00926F4A">
        <w:rPr>
          <w:rFonts w:ascii="inherit" w:eastAsia="Times New Roman" w:hAnsi="inherit" w:cs="Times New Roman"/>
          <w:color w:val="505050"/>
          <w:sz w:val="30"/>
          <w:szCs w:val="30"/>
          <w:lang w:eastAsia="es-MX"/>
        </w:rPr>
        <w:t>Este documento de consenso define los objetivos de los PROA (mejorar los resultados clínicos de los pacientes con infecciones, minimizar los efectos adversos asociados a la utilización de antimicrobianos, incluyendo aquí las resistencias, y garantizar la utilización de tratamientos coste-eficaces) y establece recomendaciones para su implantación en los hospitales españoles. Las líneas maestras de las recomendaciones son: la constitución de un equipo multidisciplinario de antibióticos, dependiente de la Comisión de Infecciones. Los PROA necesitan ser considerados programas institucionales de los hospitales donde se desarrollen. Deben incluir objetivos específicos y resultados cuantificables en función de indicadores, y basarse en la realización de actividades encaminadas a mejorar el uso de antimicrobianos, principalmente mediante actividades formativas y medidas no impositivas de ayuda a la prescripción.</w:t>
      </w:r>
    </w:p>
    <w:p w14:paraId="0038FD0D" w14:textId="77777777" w:rsidR="0096061F" w:rsidRDefault="0096061F"/>
    <w:sectPr w:rsidR="00960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usSerifPro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40"/>
    <w:rsid w:val="00947440"/>
    <w:rsid w:val="009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F0F6"/>
  <w15:chartTrackingRefBased/>
  <w15:docId w15:val="{E0D16AA0-E16C-49B3-98AA-ECD49132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13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18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7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12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17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20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11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24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5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15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23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10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19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4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9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14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Relationship Id="rId22" Type="http://schemas.openxmlformats.org/officeDocument/2006/relationships/hyperlink" Target="https://www.elsevier.es/es-revista-enfermedades-infecciosas-microbiologia-clinica-28-articulo-programas-optimizacion-uso-antimicrobianos-proa--S0213005X1100325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1251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Zakian</dc:creator>
  <cp:keywords/>
  <dc:description/>
  <cp:lastModifiedBy>Fred Zakian</cp:lastModifiedBy>
  <cp:revision>1</cp:revision>
  <dcterms:created xsi:type="dcterms:W3CDTF">2023-03-17T23:08:00Z</dcterms:created>
  <dcterms:modified xsi:type="dcterms:W3CDTF">2023-03-17T23:12:00Z</dcterms:modified>
</cp:coreProperties>
</file>